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2E1" w:rsidRPr="00ED4508" w:rsidRDefault="00EE42E1" w:rsidP="00EE42E1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2E1" w:rsidRPr="00ED4508" w:rsidRDefault="00EE42E1" w:rsidP="00EE42E1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ED4508"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EE42E1" w:rsidRPr="00ED4508" w:rsidRDefault="00EE42E1" w:rsidP="00EE42E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D4508"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EE42E1" w:rsidRPr="00ED4508" w:rsidRDefault="00EE42E1" w:rsidP="00EE42E1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D4508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EE42E1" w:rsidRPr="00ED4508" w:rsidRDefault="00EE42E1" w:rsidP="00EE42E1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ED4508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ED450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D4508">
        <w:rPr>
          <w:rFonts w:ascii="Times New Roman" w:hAnsi="Times New Roman"/>
          <w:b/>
          <w:sz w:val="24"/>
          <w:szCs w:val="24"/>
        </w:rPr>
        <w:t>Бања</w:t>
      </w:r>
      <w:proofErr w:type="spellEnd"/>
      <w:r w:rsidRPr="00ED45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D4508">
        <w:rPr>
          <w:rFonts w:ascii="Times New Roman" w:hAnsi="Times New Roman"/>
          <w:b/>
          <w:sz w:val="24"/>
          <w:szCs w:val="24"/>
        </w:rPr>
        <w:t>Лука</w:t>
      </w:r>
      <w:proofErr w:type="spellEnd"/>
      <w:r w:rsidRPr="00ED4508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ED4508">
        <w:rPr>
          <w:rFonts w:ascii="Times New Roman" w:hAnsi="Times New Roman"/>
          <w:b/>
          <w:sz w:val="24"/>
          <w:szCs w:val="24"/>
        </w:rPr>
        <w:t>:</w:t>
      </w:r>
      <w:r w:rsidRPr="00ED4508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ED4508">
        <w:rPr>
          <w:rFonts w:ascii="Times New Roman" w:hAnsi="Times New Roman"/>
          <w:b/>
          <w:sz w:val="24"/>
          <w:szCs w:val="24"/>
        </w:rPr>
        <w:t>/</w:t>
      </w:r>
      <w:r w:rsidRPr="00ED4508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ED4508">
        <w:rPr>
          <w:rFonts w:ascii="Times New Roman" w:hAnsi="Times New Roman"/>
          <w:b/>
          <w:sz w:val="24"/>
          <w:szCs w:val="24"/>
        </w:rPr>
        <w:t>-</w:t>
      </w:r>
      <w:r w:rsidRPr="00ED4508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ED4508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ED4508">
        <w:rPr>
          <w:rFonts w:ascii="Times New Roman" w:hAnsi="Times New Roman"/>
          <w:b/>
          <w:sz w:val="24"/>
          <w:szCs w:val="24"/>
        </w:rPr>
        <w:t>/</w:t>
      </w:r>
      <w:r w:rsidRPr="00ED4508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ED4508">
        <w:rPr>
          <w:rFonts w:ascii="Times New Roman" w:hAnsi="Times New Roman"/>
          <w:b/>
          <w:sz w:val="24"/>
          <w:szCs w:val="24"/>
        </w:rPr>
        <w:t>-</w:t>
      </w:r>
      <w:r w:rsidRPr="00ED4508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EE42E1" w:rsidRDefault="00EE42E1" w:rsidP="00EE42E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D4508"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hyperlink r:id="rId9" w:history="1">
        <w:r w:rsidRPr="005D2C49">
          <w:rPr>
            <w:rStyle w:val="Hyperlink"/>
            <w:rFonts w:ascii="Times New Roman" w:hAnsi="Times New Roman"/>
            <w:b/>
            <w:sz w:val="24"/>
            <w:szCs w:val="24"/>
          </w:rPr>
          <w:t>kontakt</w:t>
        </w:r>
        <w:r w:rsidRPr="005D2C49">
          <w:rPr>
            <w:rStyle w:val="Hyperlink"/>
            <w:rFonts w:ascii="Times New Roman" w:hAnsi="Times New Roman"/>
            <w:b/>
            <w:sz w:val="24"/>
            <w:szCs w:val="24"/>
            <w:lang w:val="sr-Cyrl-BA"/>
          </w:rPr>
          <w:t>@</w:t>
        </w:r>
        <w:r w:rsidRPr="005D2C49">
          <w:rPr>
            <w:rStyle w:val="Hyperlink"/>
            <w:rFonts w:ascii="Times New Roman" w:hAnsi="Times New Roman"/>
            <w:b/>
            <w:sz w:val="24"/>
            <w:szCs w:val="24"/>
          </w:rPr>
          <w:t>sukobinteresa-rs.org</w:t>
        </w:r>
      </w:hyperlink>
    </w:p>
    <w:p w:rsidR="00EE42E1" w:rsidRPr="00992E7F" w:rsidRDefault="00EE42E1" w:rsidP="00EE42E1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EE42E1" w:rsidRPr="00954647" w:rsidRDefault="00EE42E1" w:rsidP="00EE42E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ED4508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Pr="005B4362">
        <w:rPr>
          <w:rFonts w:ascii="Times New Roman" w:hAnsi="Times New Roman"/>
          <w:sz w:val="24"/>
          <w:szCs w:val="24"/>
          <w:lang w:val="sr-Cyrl-CS"/>
        </w:rPr>
        <w:t>02-</w:t>
      </w:r>
      <w:r>
        <w:rPr>
          <w:rFonts w:ascii="Times New Roman" w:hAnsi="Times New Roman"/>
          <w:sz w:val="24"/>
          <w:szCs w:val="24"/>
        </w:rPr>
        <w:t>526</w:t>
      </w:r>
      <w:r w:rsidRPr="005B4362">
        <w:rPr>
          <w:rFonts w:ascii="Times New Roman" w:hAnsi="Times New Roman"/>
          <w:sz w:val="24"/>
          <w:szCs w:val="24"/>
          <w:lang w:val="sr-Cyrl-CS"/>
        </w:rPr>
        <w:t>-С</w:t>
      </w:r>
      <w:r w:rsidRPr="005B436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="0088007E">
        <w:rPr>
          <w:rFonts w:ascii="Times New Roman" w:hAnsi="Times New Roman"/>
          <w:sz w:val="24"/>
          <w:szCs w:val="24"/>
          <w:lang w:val="sr-Latn-BA"/>
        </w:rPr>
        <w:t>9/20-1</w:t>
      </w:r>
      <w:r w:rsidR="0088007E">
        <w:rPr>
          <w:rFonts w:ascii="Times New Roman" w:hAnsi="Times New Roman"/>
          <w:sz w:val="24"/>
          <w:szCs w:val="24"/>
          <w:lang w:val="sr-Cyrl-BA"/>
        </w:rPr>
        <w:t>3</w:t>
      </w:r>
      <w:r>
        <w:rPr>
          <w:rFonts w:ascii="Times New Roman" w:hAnsi="Times New Roman"/>
          <w:sz w:val="24"/>
          <w:szCs w:val="24"/>
          <w:lang w:val="sr-Latn-BA"/>
        </w:rPr>
        <w:t>,О</w:t>
      </w:r>
      <w:r>
        <w:rPr>
          <w:rFonts w:ascii="Times New Roman" w:hAnsi="Times New Roman"/>
          <w:sz w:val="24"/>
          <w:szCs w:val="24"/>
          <w:lang w:val="sr-Cyrl-BA"/>
        </w:rPr>
        <w:t>.С.</w:t>
      </w:r>
    </w:p>
    <w:p w:rsidR="00EE42E1" w:rsidRDefault="00EE42E1" w:rsidP="00EE42E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D4508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DB0E73">
        <w:rPr>
          <w:rFonts w:ascii="Times New Roman" w:hAnsi="Times New Roman"/>
          <w:sz w:val="24"/>
          <w:szCs w:val="24"/>
          <w:lang w:val="sr-Latn-BA"/>
        </w:rPr>
        <w:t>2</w:t>
      </w:r>
      <w:r w:rsidR="00DB0E73">
        <w:rPr>
          <w:rFonts w:ascii="Times New Roman" w:hAnsi="Times New Roman"/>
          <w:sz w:val="24"/>
          <w:szCs w:val="24"/>
          <w:lang w:val="sr-Cyrl-BA"/>
        </w:rPr>
        <w:t>4</w:t>
      </w:r>
      <w:r>
        <w:rPr>
          <w:rFonts w:ascii="Times New Roman" w:hAnsi="Times New Roman"/>
          <w:sz w:val="24"/>
          <w:szCs w:val="24"/>
          <w:lang w:val="sr-Latn-BA"/>
        </w:rPr>
        <w:t>.11</w:t>
      </w:r>
      <w:r>
        <w:rPr>
          <w:rFonts w:ascii="Times New Roman" w:hAnsi="Times New Roman"/>
          <w:sz w:val="24"/>
          <w:szCs w:val="24"/>
          <w:lang w:val="sr-Cyrl-CS"/>
        </w:rPr>
        <w:t>.20</w:t>
      </w:r>
      <w:r>
        <w:rPr>
          <w:rFonts w:ascii="Times New Roman" w:hAnsi="Times New Roman"/>
          <w:sz w:val="24"/>
          <w:szCs w:val="24"/>
          <w:lang w:val="sr-Latn-BA"/>
        </w:rPr>
        <w:t>20</w:t>
      </w:r>
      <w:r w:rsidRPr="00EA649F">
        <w:rPr>
          <w:rFonts w:ascii="Times New Roman" w:hAnsi="Times New Roman"/>
          <w:sz w:val="24"/>
          <w:szCs w:val="24"/>
          <w:lang w:val="sr-Cyrl-CS"/>
        </w:rPr>
        <w:t>.</w:t>
      </w:r>
      <w:r w:rsidRPr="00ED4508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</w:p>
    <w:p w:rsidR="00EE42E1" w:rsidRDefault="00EE42E1" w:rsidP="00EE42E1">
      <w:pPr>
        <w:spacing w:after="120" w:line="240" w:lineRule="auto"/>
        <w:jc w:val="both"/>
        <w:rPr>
          <w:szCs w:val="24"/>
          <w:lang w:val="sr-Cyrl-CS"/>
        </w:rPr>
      </w:pPr>
      <w:bookmarkStart w:id="1" w:name="_GoBack"/>
      <w:bookmarkEnd w:id="1"/>
    </w:p>
    <w:p w:rsidR="00EE42E1" w:rsidRPr="002B1155" w:rsidRDefault="00EE42E1" w:rsidP="00EE42E1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2B1155">
        <w:rPr>
          <w:rStyle w:val="Emphasis"/>
          <w:rFonts w:ascii="Times New Roman" w:hAnsi="Times New Roman"/>
          <w:i w:val="0"/>
          <w:sz w:val="24"/>
          <w:szCs w:val="24"/>
        </w:rPr>
        <w:t>На</w:t>
      </w:r>
      <w:proofErr w:type="spellEnd"/>
      <w:r w:rsidRPr="002B1155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2B1155">
        <w:rPr>
          <w:rFonts w:ascii="Times New Roman" w:hAnsi="Times New Roman"/>
          <w:sz w:val="24"/>
          <w:szCs w:val="24"/>
          <w:lang w:val="sr-Cyrl-CS"/>
        </w:rPr>
        <w:t>основу члана 16. Закона о спречавању сукоба интереса у органима власти Републике Српске („Службени гласник Републике Српске“ број:73/08, 52/14), Републичка комисија за утврђивање сукоба интереса у ор</w:t>
      </w:r>
      <w:r w:rsidR="005854BD" w:rsidRPr="002B1155">
        <w:rPr>
          <w:rFonts w:ascii="Times New Roman" w:hAnsi="Times New Roman"/>
          <w:sz w:val="24"/>
          <w:szCs w:val="24"/>
          <w:lang w:val="sr-Cyrl-CS"/>
        </w:rPr>
        <w:t>ганима власти Републике Српске</w:t>
      </w:r>
      <w:r w:rsidRPr="002B1155">
        <w:rPr>
          <w:rFonts w:ascii="Times New Roman" w:hAnsi="Times New Roman"/>
          <w:sz w:val="24"/>
          <w:szCs w:val="24"/>
          <w:lang w:val="sr-Cyrl-CS"/>
        </w:rPr>
        <w:t xml:space="preserve">, на </w:t>
      </w:r>
      <w:proofErr w:type="spellStart"/>
      <w:r w:rsidRPr="002B1155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Pr="002B1155">
        <w:rPr>
          <w:rFonts w:ascii="Times New Roman" w:hAnsi="Times New Roman"/>
          <w:sz w:val="24"/>
          <w:szCs w:val="24"/>
          <w:lang w:val="sr-Cyrl-CS"/>
        </w:rPr>
        <w:t xml:space="preserve"> одржаној дана</w:t>
      </w:r>
      <w:r w:rsidRPr="002B115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0E73" w:rsidRPr="002B1155">
        <w:rPr>
          <w:rFonts w:ascii="Times New Roman" w:hAnsi="Times New Roman"/>
          <w:sz w:val="24"/>
          <w:szCs w:val="24"/>
          <w:lang w:val="sr-Cyrl-BA"/>
        </w:rPr>
        <w:t>24</w:t>
      </w:r>
      <w:r w:rsidRPr="002B1155">
        <w:rPr>
          <w:rFonts w:ascii="Times New Roman" w:hAnsi="Times New Roman"/>
          <w:sz w:val="24"/>
          <w:szCs w:val="24"/>
          <w:lang w:val="sr-Latn-BA"/>
        </w:rPr>
        <w:t>.11.</w:t>
      </w:r>
      <w:r w:rsidRPr="002B1155">
        <w:rPr>
          <w:rFonts w:ascii="Times New Roman" w:hAnsi="Times New Roman"/>
          <w:sz w:val="24"/>
          <w:szCs w:val="24"/>
          <w:lang w:val="sr-Cyrl-CS"/>
        </w:rPr>
        <w:t>20</w:t>
      </w:r>
      <w:r w:rsidRPr="002B1155">
        <w:rPr>
          <w:rFonts w:ascii="Times New Roman" w:hAnsi="Times New Roman"/>
          <w:sz w:val="24"/>
          <w:szCs w:val="24"/>
          <w:lang w:val="sr-Latn-BA"/>
        </w:rPr>
        <w:t>20</w:t>
      </w:r>
      <w:r w:rsidRPr="002B1155"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proofErr w:type="spellStart"/>
      <w:r w:rsidRPr="002B1155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2B1155">
        <w:rPr>
          <w:rFonts w:ascii="Times New Roman" w:hAnsi="Times New Roman"/>
          <w:sz w:val="24"/>
          <w:szCs w:val="24"/>
          <w:lang w:val="sr-Cyrl-CS"/>
        </w:rPr>
        <w:t xml:space="preserve"> је:</w:t>
      </w:r>
    </w:p>
    <w:p w:rsidR="00EE42E1" w:rsidRDefault="00EE42E1" w:rsidP="00EE42E1">
      <w:pPr>
        <w:spacing w:after="120" w:line="240" w:lineRule="auto"/>
        <w:jc w:val="both"/>
        <w:rPr>
          <w:szCs w:val="24"/>
          <w:lang w:val="sr-Cyrl-BA"/>
        </w:rPr>
      </w:pPr>
    </w:p>
    <w:p w:rsidR="00EE42E1" w:rsidRPr="00625355" w:rsidRDefault="00EE42E1" w:rsidP="00EE42E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25355">
        <w:rPr>
          <w:rFonts w:ascii="Times New Roman" w:hAnsi="Times New Roman"/>
          <w:b/>
          <w:sz w:val="24"/>
          <w:szCs w:val="24"/>
          <w:lang w:val="sr-Cyrl-CS"/>
        </w:rPr>
        <w:t>О Д Л У К У</w:t>
      </w:r>
    </w:p>
    <w:p w:rsidR="00EE42E1" w:rsidRPr="00625355" w:rsidRDefault="00EE42E1" w:rsidP="00EE42E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EE42E1" w:rsidRPr="00EE42E1" w:rsidRDefault="00EE42E1" w:rsidP="00EE42E1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25355">
        <w:rPr>
          <w:rFonts w:ascii="Times New Roman" w:hAnsi="Times New Roman"/>
          <w:sz w:val="24"/>
          <w:szCs w:val="24"/>
          <w:lang w:val="sr-Cyrl-CS"/>
        </w:rPr>
        <w:t>Покреће се поступак за утврђ</w:t>
      </w:r>
      <w:r w:rsidR="00250ECD">
        <w:rPr>
          <w:rFonts w:ascii="Times New Roman" w:hAnsi="Times New Roman"/>
          <w:sz w:val="24"/>
          <w:szCs w:val="24"/>
          <w:lang w:val="sr-Cyrl-CS"/>
        </w:rPr>
        <w:t>ивање постојање сукоба интереса</w:t>
      </w:r>
      <w:r w:rsidR="00A52EDB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A52EDB">
        <w:rPr>
          <w:rFonts w:ascii="Times New Roman" w:hAnsi="Times New Roman"/>
          <w:sz w:val="24"/>
          <w:szCs w:val="24"/>
          <w:lang w:val="sr-Latn-BA"/>
        </w:rPr>
        <w:t>Миленка</w:t>
      </w:r>
      <w:proofErr w:type="spellEnd"/>
      <w:r w:rsidR="00A52EDB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A52EDB">
        <w:rPr>
          <w:rFonts w:ascii="Times New Roman" w:hAnsi="Times New Roman"/>
          <w:sz w:val="24"/>
          <w:szCs w:val="24"/>
          <w:lang w:val="sr-Latn-BA"/>
        </w:rPr>
        <w:t>Ви</w:t>
      </w:r>
      <w:r>
        <w:rPr>
          <w:rFonts w:ascii="Times New Roman" w:hAnsi="Times New Roman"/>
          <w:sz w:val="24"/>
          <w:szCs w:val="24"/>
          <w:lang w:val="sr-Latn-BA"/>
        </w:rPr>
        <w:t>ћановића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народног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посланика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Народној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скупштини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Српске.</w:t>
      </w:r>
    </w:p>
    <w:p w:rsidR="00EE42E1" w:rsidRDefault="00EE42E1" w:rsidP="00EE42E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E42E1" w:rsidRPr="00625355" w:rsidRDefault="00EE42E1" w:rsidP="00EE42E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25355">
        <w:rPr>
          <w:rFonts w:ascii="Times New Roman" w:hAnsi="Times New Roman"/>
          <w:b/>
          <w:sz w:val="24"/>
          <w:szCs w:val="24"/>
          <w:lang w:val="sr-Cyrl-CS"/>
        </w:rPr>
        <w:t>О б р а з л о ж е њ е</w:t>
      </w:r>
    </w:p>
    <w:p w:rsidR="00EE42E1" w:rsidRDefault="00EE42E1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Дана 09.04.2019</w:t>
      </w:r>
      <w:r w:rsidRPr="001B0422">
        <w:rPr>
          <w:rFonts w:ascii="Times New Roman" w:hAnsi="Times New Roman"/>
          <w:sz w:val="24"/>
          <w:szCs w:val="24"/>
          <w:lang w:val="sr-Cyrl-BA"/>
        </w:rPr>
        <w:t>. године</w:t>
      </w:r>
      <w:r>
        <w:rPr>
          <w:rFonts w:ascii="Times New Roman" w:hAnsi="Times New Roman"/>
          <w:sz w:val="24"/>
          <w:szCs w:val="24"/>
          <w:lang w:val="sr-Cyrl-BA"/>
        </w:rPr>
        <w:t xml:space="preserve"> Републичка комисија за утврђивање сукоба интереса у органима власти Републике Српске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је од стране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пријаву за утврђивање сукоба интереса народног посланика у Народној скупшт</w:t>
      </w:r>
      <w:r w:rsidR="00A52EDB">
        <w:rPr>
          <w:rFonts w:ascii="Times New Roman" w:hAnsi="Times New Roman"/>
          <w:sz w:val="24"/>
          <w:szCs w:val="24"/>
          <w:lang w:val="sr-Cyrl-BA"/>
        </w:rPr>
        <w:t xml:space="preserve">ини Републике Српске Миленка </w:t>
      </w:r>
      <w:proofErr w:type="spellStart"/>
      <w:r w:rsidR="00A52EDB">
        <w:rPr>
          <w:rFonts w:ascii="Times New Roman" w:hAnsi="Times New Roman"/>
          <w:sz w:val="24"/>
          <w:szCs w:val="24"/>
          <w:lang w:val="sr-Cyrl-BA"/>
        </w:rPr>
        <w:t>Ви</w:t>
      </w:r>
      <w:r>
        <w:rPr>
          <w:rFonts w:ascii="Times New Roman" w:hAnsi="Times New Roman"/>
          <w:sz w:val="24"/>
          <w:szCs w:val="24"/>
          <w:lang w:val="sr-Cyrl-BA"/>
        </w:rPr>
        <w:t>ћановића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EE42E1" w:rsidRPr="00B328E3" w:rsidRDefault="00EE42E1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>Достављеном пријавом наведено је:</w:t>
      </w:r>
      <w:r w:rsidR="00B328E3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је упознат са информацијама које указују на постојање околности сукоба интереса у смислу члана 5.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</w:t>
      </w:r>
      <w:r w:rsidR="00C831D6">
        <w:rPr>
          <w:rFonts w:ascii="Times New Roman" w:hAnsi="Times New Roman"/>
          <w:sz w:val="24"/>
          <w:szCs w:val="24"/>
          <w:lang w:val="sr-Cyrl-BA"/>
        </w:rPr>
        <w:t>епублике Српске</w:t>
      </w:r>
      <w:r w:rsidR="00A52EDB">
        <w:rPr>
          <w:rFonts w:ascii="Times New Roman" w:hAnsi="Times New Roman"/>
          <w:sz w:val="24"/>
          <w:szCs w:val="24"/>
          <w:lang w:val="sr-Cyrl-BA"/>
        </w:rPr>
        <w:t xml:space="preserve">. Конкретно, г-дин Миленко </w:t>
      </w:r>
      <w:proofErr w:type="spellStart"/>
      <w:r w:rsidR="00A52EDB">
        <w:rPr>
          <w:rFonts w:ascii="Times New Roman" w:hAnsi="Times New Roman"/>
          <w:sz w:val="24"/>
          <w:szCs w:val="24"/>
          <w:lang w:val="sr-Cyrl-BA"/>
        </w:rPr>
        <w:t>Вићановић</w:t>
      </w:r>
      <w:proofErr w:type="spellEnd"/>
      <w:r w:rsidR="00A52EDB">
        <w:rPr>
          <w:rFonts w:ascii="Times New Roman" w:hAnsi="Times New Roman"/>
          <w:sz w:val="24"/>
          <w:szCs w:val="24"/>
          <w:lang w:val="sr-Cyrl-BA"/>
        </w:rPr>
        <w:t>, који је посланик  у Народној скупштини Републике Српске истовремено обавља функцију директора јавног предузећа Јавног предузећа АД</w:t>
      </w:r>
      <w:r w:rsidR="006A05E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52EDB">
        <w:rPr>
          <w:rFonts w:ascii="Times New Roman" w:hAnsi="Times New Roman"/>
          <w:sz w:val="24"/>
          <w:szCs w:val="24"/>
          <w:lang w:val="sr-Cyrl-BA"/>
        </w:rPr>
        <w:t>“Комуналац“ Бијељина.(наводи из пријаве)</w:t>
      </w:r>
      <w:r w:rsidR="00B328E3">
        <w:rPr>
          <w:rFonts w:ascii="Times New Roman" w:hAnsi="Times New Roman"/>
          <w:sz w:val="24"/>
          <w:szCs w:val="24"/>
          <w:lang w:val="sr-Latn-BA"/>
        </w:rPr>
        <w:t>“</w:t>
      </w:r>
    </w:p>
    <w:p w:rsidR="006A05E6" w:rsidRDefault="006A05E6" w:rsidP="00EE42E1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A05E6" w:rsidRDefault="006A05E6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Дана 18.04.2019. године Комисија је донијела Закључак број 02-526-С/19-1, О.С којим одбацује иницијативу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за утврђивање сукоба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интерса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народног посланика у Народној скупштини Републике Српске, Миленка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, као неосновану. Комисија у Закључку наводи да је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у иницијативи дао криво тумачење члана 5. </w:t>
      </w:r>
      <w:r w:rsidRPr="00625355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 наводећи да с</w:t>
      </w:r>
      <w:r w:rsidR="00F700C5">
        <w:rPr>
          <w:rFonts w:ascii="Times New Roman" w:hAnsi="Times New Roman"/>
          <w:sz w:val="24"/>
          <w:szCs w:val="24"/>
          <w:lang w:val="sr-Latn-BA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 xml:space="preserve">мо одборници могу бити директори јавних предузећа, што је чланом 5. </w:t>
      </w:r>
      <w:r w:rsidR="00EC412A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>право забрањено.</w:t>
      </w:r>
    </w:p>
    <w:p w:rsidR="0009633D" w:rsidRDefault="006A05E6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Закључку се даље наводи да је суштина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примјене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члана 5. у досадашњој пракси постојања Комисије, на који се никада није жалио</w:t>
      </w:r>
      <w:r w:rsidRPr="006A05E6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да функционери на локалном нивоу не могу бити директори локалних јавних предузећа, јер формално-правно имају утицај и могу повриједити члан 2., а функционери на републичком нивоу не могу бити директори </w:t>
      </w:r>
      <w:r w:rsidR="0009633D">
        <w:rPr>
          <w:rFonts w:ascii="Times New Roman" w:hAnsi="Times New Roman"/>
          <w:sz w:val="24"/>
          <w:szCs w:val="24"/>
          <w:lang w:val="sr-Cyrl-BA"/>
        </w:rPr>
        <w:t>јавних предузећа на републичком нивоу из истог разлога.</w:t>
      </w:r>
    </w:p>
    <w:p w:rsidR="006A05E6" w:rsidRDefault="0009633D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Комисија у Закључку даље наводи да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 w:rsidR="006A05E6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подношењем пријаве против Миленка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Вићановића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, који је посланик у Нар</w:t>
      </w:r>
      <w:r w:rsidR="00EC412A">
        <w:rPr>
          <w:rFonts w:ascii="Times New Roman" w:hAnsi="Times New Roman"/>
          <w:sz w:val="24"/>
          <w:szCs w:val="24"/>
          <w:lang w:val="sr-Cyrl-BA"/>
        </w:rPr>
        <w:t>одној скупштини Републике Српск</w:t>
      </w:r>
      <w:r w:rsidR="00DC761A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, а обавља и функцију директора јавног предузећа  на локалном нивоу, апсолутно не представља сукоб интереса, те Комисија против истог није могла ни водити поступак.</w:t>
      </w:r>
    </w:p>
    <w:p w:rsidR="00FD6C33" w:rsidRDefault="0009633D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Благовремено, у законом предвиђеном року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изјавио је жалбу против Закључка Републичке комисије за утврђивање сукоба интереса у органима власти Републике Српске број. 02-526-С/19-1, О.С. од 18.04.2019. године.</w:t>
      </w:r>
      <w:r w:rsidR="00FD6C33">
        <w:rPr>
          <w:rFonts w:ascii="Times New Roman" w:hAnsi="Times New Roman"/>
          <w:sz w:val="24"/>
          <w:szCs w:val="24"/>
          <w:lang w:val="sr-Cyrl-BA"/>
        </w:rPr>
        <w:t xml:space="preserve"> Жалилац је мишљења да је Комисија  у Закључку поступила супротно члану 5</w:t>
      </w:r>
      <w:r w:rsidR="00120B23">
        <w:rPr>
          <w:rFonts w:ascii="Times New Roman" w:hAnsi="Times New Roman"/>
          <w:sz w:val="24"/>
          <w:szCs w:val="24"/>
          <w:lang w:val="sr-Cyrl-BA"/>
        </w:rPr>
        <w:t>. Закона о општем управном поступку Републике Српске,</w:t>
      </w:r>
      <w:r w:rsidR="00FD6C33">
        <w:rPr>
          <w:rFonts w:ascii="Times New Roman" w:hAnsi="Times New Roman"/>
          <w:sz w:val="24"/>
          <w:szCs w:val="24"/>
          <w:lang w:val="sr-Cyrl-BA"/>
        </w:rPr>
        <w:t xml:space="preserve"> те члану 15.</w:t>
      </w:r>
      <w:r w:rsidR="00FD6C33" w:rsidRPr="00FD6C3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6C33" w:rsidRPr="00625355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FD6C33">
        <w:rPr>
          <w:rFonts w:ascii="Times New Roman" w:hAnsi="Times New Roman"/>
          <w:sz w:val="24"/>
          <w:szCs w:val="24"/>
          <w:lang w:val="sr-Cyrl-BA"/>
        </w:rPr>
        <w:t>.</w:t>
      </w:r>
    </w:p>
    <w:p w:rsidR="00FD6C33" w:rsidRDefault="00FD6C33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Рјешењем Комисије за жалбе Републике Српске, број 01-59-4/19 од 05.06.2019. године, одбачена је жалба јер </w:t>
      </w:r>
      <w:r w:rsidR="00DC761A">
        <w:rPr>
          <w:rFonts w:ascii="Times New Roman" w:hAnsi="Times New Roman"/>
          <w:sz w:val="24"/>
          <w:szCs w:val="24"/>
          <w:lang w:val="sr-Cyrl-BA"/>
        </w:rPr>
        <w:t xml:space="preserve">како наводе </w:t>
      </w:r>
      <w:r>
        <w:rPr>
          <w:rFonts w:ascii="Times New Roman" w:hAnsi="Times New Roman"/>
          <w:sz w:val="24"/>
          <w:szCs w:val="24"/>
          <w:lang w:val="sr-Cyrl-BA"/>
        </w:rPr>
        <w:t xml:space="preserve">подносилац жалбе нема статус странке, већ је исти само иницијатор поступка, тако да не може ни улагати правне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лијекове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, конкретно жалбу, </w:t>
      </w:r>
      <w:r w:rsidR="005854BD">
        <w:rPr>
          <w:rFonts w:ascii="Times New Roman" w:hAnsi="Times New Roman"/>
          <w:sz w:val="24"/>
          <w:szCs w:val="24"/>
          <w:lang w:val="sr-Cyrl-BA"/>
        </w:rPr>
        <w:t xml:space="preserve">на </w:t>
      </w:r>
      <w:proofErr w:type="spellStart"/>
      <w:r w:rsidR="005854BD">
        <w:rPr>
          <w:rFonts w:ascii="Times New Roman" w:hAnsi="Times New Roman"/>
          <w:sz w:val="24"/>
          <w:szCs w:val="24"/>
          <w:lang w:val="sr-Cyrl-BA"/>
        </w:rPr>
        <w:t>ожалбени</w:t>
      </w:r>
      <w:proofErr w:type="spellEnd"/>
      <w:r w:rsidR="005854BD">
        <w:rPr>
          <w:rFonts w:ascii="Times New Roman" w:hAnsi="Times New Roman"/>
          <w:sz w:val="24"/>
          <w:szCs w:val="24"/>
          <w:lang w:val="sr-Cyrl-BA"/>
        </w:rPr>
        <w:t xml:space="preserve"> Закључак </w:t>
      </w:r>
      <w:r w:rsidR="005854BD">
        <w:rPr>
          <w:rFonts w:ascii="Times New Roman" w:hAnsi="Times New Roman"/>
          <w:sz w:val="24"/>
          <w:szCs w:val="24"/>
          <w:lang w:val="sr-Cyrl-CS"/>
        </w:rPr>
        <w:t>Републичке</w:t>
      </w:r>
      <w:r w:rsidR="005854BD" w:rsidRPr="00625355">
        <w:rPr>
          <w:rFonts w:ascii="Times New Roman" w:hAnsi="Times New Roman"/>
          <w:sz w:val="24"/>
          <w:szCs w:val="24"/>
          <w:lang w:val="sr-Cyrl-CS"/>
        </w:rPr>
        <w:t xml:space="preserve"> комис</w:t>
      </w:r>
      <w:r w:rsidR="005854BD">
        <w:rPr>
          <w:rFonts w:ascii="Times New Roman" w:hAnsi="Times New Roman"/>
          <w:sz w:val="24"/>
          <w:szCs w:val="24"/>
          <w:lang w:val="sr-Cyrl-CS"/>
        </w:rPr>
        <w:t>ије</w:t>
      </w:r>
      <w:r w:rsidR="005854BD" w:rsidRPr="00625355">
        <w:rPr>
          <w:rFonts w:ascii="Times New Roman" w:hAnsi="Times New Roman"/>
          <w:sz w:val="24"/>
          <w:szCs w:val="24"/>
          <w:lang w:val="sr-Cyrl-CS"/>
        </w:rPr>
        <w:t xml:space="preserve"> за утврђивање сукоба интереса у органима власти Републике Српске</w:t>
      </w:r>
      <w:r w:rsidR="005854BD">
        <w:rPr>
          <w:rFonts w:ascii="Times New Roman" w:hAnsi="Times New Roman"/>
          <w:sz w:val="24"/>
          <w:szCs w:val="24"/>
          <w:lang w:val="sr-Cyrl-CS"/>
        </w:rPr>
        <w:t>.</w:t>
      </w:r>
    </w:p>
    <w:p w:rsidR="00EC412A" w:rsidRDefault="00EC412A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  <w:lang w:val="sr-Latn-BA"/>
        </w:rPr>
        <w:t>Transparency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international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Bosne i Hercegovine</w:t>
      </w:r>
      <w:r>
        <w:rPr>
          <w:rFonts w:ascii="Times New Roman" w:hAnsi="Times New Roman"/>
          <w:sz w:val="24"/>
          <w:szCs w:val="24"/>
          <w:lang w:val="sr-Cyrl-BA"/>
        </w:rPr>
        <w:t xml:space="preserve"> је изјавио Тужбу на Рјешење Комисије за жалбе</w:t>
      </w:r>
      <w:r w:rsidR="006A4D54">
        <w:rPr>
          <w:rFonts w:ascii="Times New Roman" w:hAnsi="Times New Roman"/>
          <w:sz w:val="24"/>
          <w:szCs w:val="24"/>
          <w:lang w:val="sr-Cyrl-BA"/>
        </w:rPr>
        <w:t xml:space="preserve"> број: 01-59-4719 од 05.06.2019. године.</w:t>
      </w:r>
      <w:r>
        <w:rPr>
          <w:rFonts w:ascii="Times New Roman" w:hAnsi="Times New Roman"/>
          <w:sz w:val="24"/>
          <w:szCs w:val="24"/>
          <w:lang w:val="sr-Cyrl-BA"/>
        </w:rPr>
        <w:t xml:space="preserve"> У тужби наводи да тужилац сматра да тужени није правилно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примјенио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одредбе </w:t>
      </w:r>
      <w:r w:rsidRPr="00625355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CS"/>
        </w:rPr>
        <w:t xml:space="preserve"> и Закона</w:t>
      </w:r>
      <w:r w:rsidR="00E462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 општем управном поступку Републике Српске, те неправилно утврдио чињенично стање</w:t>
      </w:r>
      <w:r w:rsidR="00DC761A">
        <w:rPr>
          <w:rFonts w:ascii="Times New Roman" w:hAnsi="Times New Roman"/>
          <w:sz w:val="24"/>
          <w:szCs w:val="24"/>
          <w:lang w:val="sr-Cyrl-CS"/>
        </w:rPr>
        <w:t>, извео погрешан закључак</w:t>
      </w:r>
      <w:r w:rsidR="00E4622F">
        <w:rPr>
          <w:rFonts w:ascii="Times New Roman" w:hAnsi="Times New Roman"/>
          <w:sz w:val="24"/>
          <w:szCs w:val="24"/>
          <w:lang w:val="sr-Cyrl-CS"/>
        </w:rPr>
        <w:t xml:space="preserve"> и </w:t>
      </w:r>
      <w:proofErr w:type="spellStart"/>
      <w:r w:rsidR="00E4622F">
        <w:rPr>
          <w:rFonts w:ascii="Times New Roman" w:hAnsi="Times New Roman"/>
          <w:sz w:val="24"/>
          <w:szCs w:val="24"/>
          <w:lang w:val="sr-Cyrl-CS"/>
        </w:rPr>
        <w:t>донио</w:t>
      </w:r>
      <w:proofErr w:type="spellEnd"/>
      <w:r w:rsidR="00E4622F">
        <w:rPr>
          <w:rFonts w:ascii="Times New Roman" w:hAnsi="Times New Roman"/>
          <w:sz w:val="24"/>
          <w:szCs w:val="24"/>
          <w:lang w:val="sr-Cyrl-CS"/>
        </w:rPr>
        <w:t xml:space="preserve"> незакониту одлуку.</w:t>
      </w:r>
    </w:p>
    <w:p w:rsidR="00FE78D1" w:rsidRDefault="00E4622F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Поступајући по Тужби </w:t>
      </w:r>
      <w:r w:rsidR="00FE78D1">
        <w:rPr>
          <w:rFonts w:ascii="Times New Roman" w:hAnsi="Times New Roman"/>
          <w:sz w:val="24"/>
          <w:szCs w:val="24"/>
          <w:lang w:val="sr-Cyrl-CS"/>
        </w:rPr>
        <w:t xml:space="preserve">Окружни суд у </w:t>
      </w:r>
      <w:proofErr w:type="spellStart"/>
      <w:r w:rsidR="00FE78D1">
        <w:rPr>
          <w:rFonts w:ascii="Times New Roman" w:hAnsi="Times New Roman"/>
          <w:sz w:val="24"/>
          <w:szCs w:val="24"/>
          <w:lang w:val="sr-Cyrl-CS"/>
        </w:rPr>
        <w:t>Бањојлуци</w:t>
      </w:r>
      <w:proofErr w:type="spellEnd"/>
      <w:r w:rsidR="00FE78D1">
        <w:rPr>
          <w:rFonts w:ascii="Times New Roman" w:hAnsi="Times New Roman"/>
          <w:sz w:val="24"/>
          <w:szCs w:val="24"/>
          <w:lang w:val="sr-Cyrl-CS"/>
        </w:rPr>
        <w:t xml:space="preserve"> је </w:t>
      </w:r>
      <w:proofErr w:type="spellStart"/>
      <w:r w:rsidR="00FE78D1">
        <w:rPr>
          <w:rFonts w:ascii="Times New Roman" w:hAnsi="Times New Roman"/>
          <w:sz w:val="24"/>
          <w:szCs w:val="24"/>
          <w:lang w:val="sr-Cyrl-CS"/>
        </w:rPr>
        <w:t>донио</w:t>
      </w:r>
      <w:proofErr w:type="spellEnd"/>
      <w:r w:rsidR="00FE78D1">
        <w:rPr>
          <w:rFonts w:ascii="Times New Roman" w:hAnsi="Times New Roman"/>
          <w:sz w:val="24"/>
          <w:szCs w:val="24"/>
          <w:lang w:val="sr-Cyrl-CS"/>
        </w:rPr>
        <w:t xml:space="preserve"> пресуду </w:t>
      </w:r>
      <w:r w:rsidR="00A11BA0">
        <w:rPr>
          <w:rFonts w:ascii="Times New Roman" w:hAnsi="Times New Roman"/>
          <w:sz w:val="24"/>
          <w:szCs w:val="24"/>
          <w:lang w:val="sr-Cyrl-CS"/>
        </w:rPr>
        <w:t>број</w:t>
      </w:r>
      <w:r w:rsidR="00C64FF0">
        <w:rPr>
          <w:rFonts w:ascii="Times New Roman" w:hAnsi="Times New Roman"/>
          <w:sz w:val="24"/>
          <w:szCs w:val="24"/>
          <w:lang w:val="sr-Cyrl-CS"/>
        </w:rPr>
        <w:t>:</w:t>
      </w:r>
      <w:r w:rsidR="00A11BA0">
        <w:rPr>
          <w:rFonts w:ascii="Times New Roman" w:hAnsi="Times New Roman"/>
          <w:sz w:val="24"/>
          <w:szCs w:val="24"/>
          <w:lang w:val="sr-Cyrl-CS"/>
        </w:rPr>
        <w:t xml:space="preserve"> 11 0 </w:t>
      </w:r>
      <w:r w:rsidR="00A11BA0">
        <w:rPr>
          <w:rFonts w:ascii="Times New Roman" w:hAnsi="Times New Roman"/>
          <w:sz w:val="24"/>
          <w:szCs w:val="24"/>
          <w:lang w:val="sr-Latn-BA"/>
        </w:rPr>
        <w:t xml:space="preserve">U 025054 19 U </w:t>
      </w:r>
      <w:r w:rsidR="00A11BA0">
        <w:rPr>
          <w:rFonts w:ascii="Times New Roman" w:hAnsi="Times New Roman"/>
          <w:sz w:val="24"/>
          <w:szCs w:val="24"/>
          <w:lang w:val="sr-Cyrl-BA"/>
        </w:rPr>
        <w:t xml:space="preserve"> дана 06.10.2020. године </w:t>
      </w:r>
      <w:r w:rsidR="00FE78D1">
        <w:rPr>
          <w:rFonts w:ascii="Times New Roman" w:hAnsi="Times New Roman"/>
          <w:sz w:val="24"/>
          <w:szCs w:val="24"/>
          <w:lang w:val="sr-Cyrl-CS"/>
        </w:rPr>
        <w:t xml:space="preserve">да се тужба уважава и оспорени акт поништава. У образложењу пресуде се наводи да тужилац као подносилац иницијативе није странка у поступку утврђивања сукоба </w:t>
      </w:r>
      <w:r w:rsidR="005C02DE">
        <w:rPr>
          <w:rFonts w:ascii="Times New Roman" w:hAnsi="Times New Roman"/>
          <w:sz w:val="24"/>
          <w:szCs w:val="24"/>
          <w:lang w:val="sr-Cyrl-CS"/>
        </w:rPr>
        <w:t>интереса</w:t>
      </w:r>
      <w:r w:rsidR="00FE78D1">
        <w:rPr>
          <w:rFonts w:ascii="Times New Roman" w:hAnsi="Times New Roman"/>
          <w:sz w:val="24"/>
          <w:szCs w:val="24"/>
          <w:lang w:val="sr-Cyrl-CS"/>
        </w:rPr>
        <w:t xml:space="preserve">, али да у овом </w:t>
      </w:r>
      <w:r w:rsidR="00250ECD">
        <w:rPr>
          <w:rFonts w:ascii="Times New Roman" w:hAnsi="Times New Roman"/>
          <w:sz w:val="24"/>
          <w:szCs w:val="24"/>
          <w:lang w:val="sr-Cyrl-CS"/>
        </w:rPr>
        <w:t xml:space="preserve">случају такав поступак није ни покренут у смислу члана 16. Став 1. Закона, да исти поступак није спроведен, нити је донесена одлука о утврђивању сукоба интереса, већ је иницијатива тужиоца одбачена </w:t>
      </w:r>
      <w:r w:rsidR="00250ECD">
        <w:rPr>
          <w:rFonts w:ascii="Times New Roman" w:hAnsi="Times New Roman"/>
          <w:sz w:val="24"/>
          <w:szCs w:val="24"/>
          <w:lang w:val="sr-Cyrl-CS"/>
        </w:rPr>
        <w:lastRenderedPageBreak/>
        <w:t>Закључком, због чега тужилац којег таква одлука директно погађа има право на подношење жалбе против истог.</w:t>
      </w:r>
    </w:p>
    <w:p w:rsidR="00B328E3" w:rsidRDefault="00DF7BE5" w:rsidP="00511AF7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за жалбе је следећи ставове окружног суда и уважавајући правно схватање  и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примједбе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суда у погледу поступка, размотрила све чињенице и наводе истакнуте у Закључку и одлучила да</w:t>
      </w:r>
      <w:r w:rsidR="006B41B7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6B41B7">
        <w:rPr>
          <w:rFonts w:ascii="Times New Roman" w:hAnsi="Times New Roman"/>
          <w:sz w:val="24"/>
          <w:szCs w:val="24"/>
          <w:lang w:val="sr-Cyrl-CS"/>
        </w:rPr>
        <w:t>Рјешењем</w:t>
      </w:r>
      <w:proofErr w:type="spellEnd"/>
      <w:r w:rsidR="006B41B7">
        <w:rPr>
          <w:rFonts w:ascii="Times New Roman" w:hAnsi="Times New Roman"/>
          <w:sz w:val="24"/>
          <w:szCs w:val="24"/>
          <w:lang w:val="sr-Cyrl-CS"/>
        </w:rPr>
        <w:t xml:space="preserve"> број 01-60-10/20 од дана 16.11.2020. године </w:t>
      </w:r>
      <w:r w:rsidR="00111C7F">
        <w:rPr>
          <w:rFonts w:ascii="Times New Roman" w:hAnsi="Times New Roman"/>
          <w:sz w:val="24"/>
          <w:szCs w:val="24"/>
          <w:lang w:val="sr-Cyrl-CS"/>
        </w:rPr>
        <w:t xml:space="preserve">поништи </w:t>
      </w:r>
      <w:r>
        <w:rPr>
          <w:rFonts w:ascii="Times New Roman" w:hAnsi="Times New Roman"/>
          <w:sz w:val="24"/>
          <w:szCs w:val="24"/>
          <w:lang w:val="sr-Cyrl-CS"/>
        </w:rPr>
        <w:t xml:space="preserve"> Закљ</w:t>
      </w:r>
      <w:r w:rsidR="00111C7F">
        <w:rPr>
          <w:rFonts w:ascii="Times New Roman" w:hAnsi="Times New Roman"/>
          <w:sz w:val="24"/>
          <w:szCs w:val="24"/>
          <w:lang w:val="sr-Cyrl-CS"/>
        </w:rPr>
        <w:t>учак Републичке Комисије</w:t>
      </w:r>
      <w:r>
        <w:rPr>
          <w:rFonts w:ascii="Times New Roman" w:hAnsi="Times New Roman"/>
          <w:sz w:val="24"/>
          <w:szCs w:val="24"/>
          <w:lang w:val="sr-Cyrl-CS"/>
        </w:rPr>
        <w:t xml:space="preserve"> и предмет врати првостепеном органу на поновни поступак. </w:t>
      </w:r>
    </w:p>
    <w:p w:rsidR="00DF7BE5" w:rsidRDefault="00DF7BE5" w:rsidP="00B328E3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поновном поступку Комисија за жалбе затражила је од Комисије следеће:</w:t>
      </w:r>
    </w:p>
    <w:p w:rsidR="00DF7BE5" w:rsidRDefault="00BC5F1B" w:rsidP="00DF7BE5">
      <w:pPr>
        <w:pStyle w:val="ListParagraph"/>
        <w:numPr>
          <w:ilvl w:val="0"/>
          <w:numId w:val="2"/>
        </w:numPr>
        <w:spacing w:line="240" w:lineRule="auto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д</w:t>
      </w:r>
      <w:r w:rsidR="00DF7BE5">
        <w:rPr>
          <w:szCs w:val="24"/>
          <w:lang w:val="sr-Cyrl-CS"/>
        </w:rPr>
        <w:t>а поступи у складу са чланом 16. Закона и донесе Одлуку о покретању поступка за утврђивање сукоба интереса,</w:t>
      </w:r>
    </w:p>
    <w:p w:rsidR="00DF7BE5" w:rsidRDefault="00BC5F1B" w:rsidP="00DF7BE5">
      <w:pPr>
        <w:pStyle w:val="ListParagraph"/>
        <w:numPr>
          <w:ilvl w:val="0"/>
          <w:numId w:val="2"/>
        </w:numPr>
        <w:spacing w:line="240" w:lineRule="auto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д</w:t>
      </w:r>
      <w:r w:rsidR="00DF7BE5">
        <w:rPr>
          <w:szCs w:val="24"/>
          <w:lang w:val="sr-Cyrl-CS"/>
        </w:rPr>
        <w:t xml:space="preserve">а затражи изјашњење </w:t>
      </w:r>
      <w:proofErr w:type="spellStart"/>
      <w:r w:rsidR="00DF7BE5">
        <w:rPr>
          <w:szCs w:val="24"/>
          <w:lang w:val="sr-Cyrl-CS"/>
        </w:rPr>
        <w:t>Вићановић</w:t>
      </w:r>
      <w:proofErr w:type="spellEnd"/>
      <w:r w:rsidR="00DF7BE5">
        <w:rPr>
          <w:szCs w:val="24"/>
          <w:lang w:val="sr-Cyrl-CS"/>
        </w:rPr>
        <w:t xml:space="preserve"> Миленка по наведеној иницијативи,</w:t>
      </w:r>
    </w:p>
    <w:p w:rsidR="00DF7BE5" w:rsidRDefault="00BC5F1B" w:rsidP="00DF7BE5">
      <w:pPr>
        <w:pStyle w:val="ListParagraph"/>
        <w:numPr>
          <w:ilvl w:val="0"/>
          <w:numId w:val="2"/>
        </w:numPr>
        <w:spacing w:line="240" w:lineRule="auto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д</w:t>
      </w:r>
      <w:r w:rsidR="00DF7BE5">
        <w:rPr>
          <w:szCs w:val="24"/>
          <w:lang w:val="sr-Cyrl-CS"/>
        </w:rPr>
        <w:t>а од надлежног органа прибави доказ у којем облику је регистрован пословни субјекат АД „Комуналац“ Бијељина, односно да утврди да ли се ради о привредном друштву или јавном предузећу сходно Закону о привредним друштвима Републике Српске.</w:t>
      </w:r>
    </w:p>
    <w:p w:rsidR="00DF7BE5" w:rsidRDefault="00BC5F1B" w:rsidP="00DF7BE5">
      <w:pPr>
        <w:pStyle w:val="ListParagraph"/>
        <w:numPr>
          <w:ilvl w:val="0"/>
          <w:numId w:val="2"/>
        </w:numPr>
        <w:spacing w:line="240" w:lineRule="auto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д</w:t>
      </w:r>
      <w:r w:rsidR="00DF7BE5">
        <w:rPr>
          <w:szCs w:val="24"/>
          <w:lang w:val="sr-Cyrl-CS"/>
        </w:rPr>
        <w:t xml:space="preserve">а утврди да ли </w:t>
      </w:r>
      <w:proofErr w:type="spellStart"/>
      <w:r w:rsidR="00DF7BE5">
        <w:rPr>
          <w:szCs w:val="24"/>
          <w:lang w:val="sr-Cyrl-CS"/>
        </w:rPr>
        <w:t>Вићановић</w:t>
      </w:r>
      <w:proofErr w:type="spellEnd"/>
      <w:r w:rsidR="00DF7BE5">
        <w:rPr>
          <w:szCs w:val="24"/>
          <w:lang w:val="sr-Cyrl-CS"/>
        </w:rPr>
        <w:t xml:space="preserve"> Миленко обавља функцију директора АД </w:t>
      </w:r>
      <w:r w:rsidR="00DC761A">
        <w:rPr>
          <w:szCs w:val="24"/>
          <w:lang w:val="sr-Cyrl-CS"/>
        </w:rPr>
        <w:t>„</w:t>
      </w:r>
      <w:r w:rsidR="00DF7BE5">
        <w:rPr>
          <w:szCs w:val="24"/>
          <w:lang w:val="sr-Cyrl-CS"/>
        </w:rPr>
        <w:t>Комуналац“ Бијељина,</w:t>
      </w:r>
    </w:p>
    <w:p w:rsidR="00DF7BE5" w:rsidRDefault="00BC5F1B" w:rsidP="00DF7BE5">
      <w:pPr>
        <w:pStyle w:val="ListParagraph"/>
        <w:numPr>
          <w:ilvl w:val="0"/>
          <w:numId w:val="2"/>
        </w:numPr>
        <w:spacing w:line="240" w:lineRule="auto"/>
        <w:jc w:val="both"/>
        <w:rPr>
          <w:szCs w:val="24"/>
          <w:lang w:val="sr-Cyrl-CS"/>
        </w:rPr>
      </w:pPr>
      <w:r>
        <w:rPr>
          <w:szCs w:val="24"/>
          <w:lang w:val="sr-Cyrl-CS"/>
        </w:rPr>
        <w:t>т</w:t>
      </w:r>
      <w:r w:rsidR="00696D93">
        <w:rPr>
          <w:szCs w:val="24"/>
          <w:lang w:val="sr-Cyrl-CS"/>
        </w:rPr>
        <w:t xml:space="preserve">е да утврди да ли се </w:t>
      </w:r>
      <w:proofErr w:type="spellStart"/>
      <w:r w:rsidR="00696D93">
        <w:rPr>
          <w:szCs w:val="24"/>
          <w:lang w:val="sr-Cyrl-CS"/>
        </w:rPr>
        <w:t>Вићановић</w:t>
      </w:r>
      <w:proofErr w:type="spellEnd"/>
      <w:r w:rsidR="00696D93">
        <w:rPr>
          <w:szCs w:val="24"/>
          <w:lang w:val="sr-Cyrl-CS"/>
        </w:rPr>
        <w:t xml:space="preserve"> Миленко по основу неспојивости функција налази у сукобу интереса.</w:t>
      </w:r>
    </w:p>
    <w:p w:rsidR="00696D93" w:rsidRDefault="00696D93" w:rsidP="00696D93">
      <w:pPr>
        <w:pStyle w:val="ListParagraph"/>
        <w:spacing w:line="240" w:lineRule="auto"/>
        <w:jc w:val="both"/>
        <w:rPr>
          <w:szCs w:val="24"/>
          <w:lang w:val="sr-Cyrl-CS"/>
        </w:rPr>
      </w:pPr>
    </w:p>
    <w:p w:rsidR="0028683F" w:rsidRPr="00696D93" w:rsidRDefault="00696D93" w:rsidP="0028683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96D93">
        <w:rPr>
          <w:rFonts w:ascii="Times New Roman" w:hAnsi="Times New Roman"/>
          <w:sz w:val="24"/>
          <w:szCs w:val="24"/>
          <w:lang w:val="sr-Cyrl-CS"/>
        </w:rPr>
        <w:t xml:space="preserve">Сходно горе наведеном, Комисија </w:t>
      </w:r>
      <w:r>
        <w:rPr>
          <w:rFonts w:ascii="Times New Roman" w:hAnsi="Times New Roman"/>
          <w:sz w:val="24"/>
          <w:szCs w:val="24"/>
          <w:lang w:val="sr-Cyrl-CS"/>
        </w:rPr>
        <w:t xml:space="preserve">доноси </w:t>
      </w:r>
      <w:r w:rsidRPr="00696D93">
        <w:rPr>
          <w:rFonts w:ascii="Times New Roman" w:hAnsi="Times New Roman"/>
          <w:sz w:val="24"/>
          <w:szCs w:val="24"/>
          <w:lang w:val="sr-Cyrl-CS"/>
        </w:rPr>
        <w:t xml:space="preserve">Одлуку о покретању </w:t>
      </w:r>
      <w:r w:rsidR="00A641CD">
        <w:rPr>
          <w:rFonts w:ascii="Times New Roman" w:hAnsi="Times New Roman"/>
          <w:sz w:val="24"/>
          <w:szCs w:val="24"/>
          <w:lang w:val="sr-Cyrl-CS"/>
        </w:rPr>
        <w:t>поступка за утврђивање постојања</w:t>
      </w:r>
      <w:r w:rsidRPr="00696D93">
        <w:rPr>
          <w:rFonts w:ascii="Times New Roman" w:hAnsi="Times New Roman"/>
          <w:sz w:val="24"/>
          <w:szCs w:val="24"/>
          <w:lang w:val="sr-Cyrl-CS"/>
        </w:rPr>
        <w:t xml:space="preserve"> сукоба интереса</w:t>
      </w:r>
      <w:r w:rsidRPr="00696D93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696D93">
        <w:rPr>
          <w:rFonts w:ascii="Times New Roman" w:hAnsi="Times New Roman"/>
          <w:sz w:val="24"/>
          <w:szCs w:val="24"/>
          <w:lang w:val="sr-Latn-BA"/>
        </w:rPr>
        <w:t>Миленка</w:t>
      </w:r>
      <w:proofErr w:type="spellEnd"/>
      <w:r w:rsidRPr="00696D93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696D93">
        <w:rPr>
          <w:rFonts w:ascii="Times New Roman" w:hAnsi="Times New Roman"/>
          <w:sz w:val="24"/>
          <w:szCs w:val="24"/>
          <w:lang w:val="sr-Latn-BA"/>
        </w:rPr>
        <w:t>Вићановића</w:t>
      </w:r>
      <w:proofErr w:type="spellEnd"/>
      <w:r w:rsidRPr="00696D93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696D93">
        <w:rPr>
          <w:rFonts w:ascii="Times New Roman" w:hAnsi="Times New Roman"/>
          <w:sz w:val="24"/>
          <w:szCs w:val="24"/>
          <w:lang w:val="sr-Latn-BA"/>
        </w:rPr>
        <w:t>народног</w:t>
      </w:r>
      <w:proofErr w:type="spellEnd"/>
      <w:r w:rsidRPr="00696D93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696D93">
        <w:rPr>
          <w:rFonts w:ascii="Times New Roman" w:hAnsi="Times New Roman"/>
          <w:sz w:val="24"/>
          <w:szCs w:val="24"/>
          <w:lang w:val="sr-Latn-BA"/>
        </w:rPr>
        <w:t>посланика</w:t>
      </w:r>
      <w:proofErr w:type="spellEnd"/>
      <w:r w:rsidRPr="00696D93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696D93">
        <w:rPr>
          <w:rFonts w:ascii="Times New Roman" w:hAnsi="Times New Roman"/>
          <w:sz w:val="24"/>
          <w:szCs w:val="24"/>
          <w:lang w:val="sr-Latn-BA"/>
        </w:rPr>
        <w:t>Народној</w:t>
      </w:r>
      <w:proofErr w:type="spellEnd"/>
      <w:r w:rsidRPr="00696D93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696D93">
        <w:rPr>
          <w:rFonts w:ascii="Times New Roman" w:hAnsi="Times New Roman"/>
          <w:sz w:val="24"/>
          <w:szCs w:val="24"/>
          <w:lang w:val="sr-Latn-BA"/>
        </w:rPr>
        <w:t>скупштини</w:t>
      </w:r>
      <w:proofErr w:type="spellEnd"/>
      <w:r w:rsidRPr="00696D93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696D93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696D9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696D93">
        <w:rPr>
          <w:rFonts w:ascii="Times New Roman" w:hAnsi="Times New Roman"/>
          <w:sz w:val="24"/>
          <w:szCs w:val="24"/>
          <w:lang w:val="sr-Cyrl-BA"/>
        </w:rPr>
        <w:t>Српске</w:t>
      </w:r>
      <w:r w:rsidR="0066254A">
        <w:rPr>
          <w:rFonts w:ascii="Times New Roman" w:hAnsi="Times New Roman"/>
          <w:sz w:val="24"/>
          <w:szCs w:val="24"/>
          <w:lang w:val="sr-Cyrl-BA"/>
        </w:rPr>
        <w:t>.</w:t>
      </w:r>
    </w:p>
    <w:p w:rsidR="00C11411" w:rsidRPr="00ED05E6" w:rsidRDefault="005331D6" w:rsidP="00696D93">
      <w:pPr>
        <w:spacing w:after="120" w:line="240" w:lineRule="auto"/>
        <w:ind w:firstLine="36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D05E6">
        <w:rPr>
          <w:rFonts w:ascii="Times New Roman" w:hAnsi="Times New Roman"/>
          <w:b/>
          <w:sz w:val="24"/>
          <w:szCs w:val="24"/>
          <w:lang w:val="sr-Cyrl-BA"/>
        </w:rPr>
        <w:t>П</w:t>
      </w:r>
      <w:r w:rsidR="00963794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ротив </w:t>
      </w:r>
      <w:r w:rsidR="00307C84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 Одлуке </w:t>
      </w:r>
      <w:r w:rsidR="00963794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о покретању поступка за  утврђивање постојања сукоба интереса </w:t>
      </w:r>
      <w:r w:rsidR="00037582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се не може изјавити </w:t>
      </w:r>
      <w:r w:rsidR="00136D09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нити жалба нити </w:t>
      </w:r>
      <w:r w:rsidR="00037582" w:rsidRPr="00ED05E6">
        <w:rPr>
          <w:rFonts w:ascii="Times New Roman" w:hAnsi="Times New Roman"/>
          <w:b/>
          <w:sz w:val="24"/>
          <w:szCs w:val="24"/>
          <w:lang w:val="sr-Cyrl-BA"/>
        </w:rPr>
        <w:t>туж</w:t>
      </w:r>
      <w:r w:rsidR="00307C84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ба, што је потврђено и судском пресудом Окружног суда у </w:t>
      </w:r>
      <w:proofErr w:type="spellStart"/>
      <w:r w:rsidR="00307C84" w:rsidRPr="00ED05E6">
        <w:rPr>
          <w:rFonts w:ascii="Times New Roman" w:hAnsi="Times New Roman"/>
          <w:b/>
          <w:sz w:val="24"/>
          <w:szCs w:val="24"/>
          <w:lang w:val="sr-Cyrl-BA"/>
        </w:rPr>
        <w:t>Бањој</w:t>
      </w:r>
      <w:proofErr w:type="spellEnd"/>
      <w:r w:rsidR="004A7F4E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 Л</w:t>
      </w:r>
      <w:r w:rsidR="00307C84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уци број 11 0 </w:t>
      </w:r>
      <w:r w:rsidR="00307C84" w:rsidRPr="00ED05E6">
        <w:rPr>
          <w:rFonts w:ascii="Times New Roman" w:hAnsi="Times New Roman"/>
          <w:b/>
          <w:sz w:val="24"/>
          <w:szCs w:val="24"/>
          <w:lang w:val="sr-Latn-BA"/>
        </w:rPr>
        <w:t>U</w:t>
      </w:r>
      <w:r w:rsidR="00307C84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 004967 10</w:t>
      </w:r>
      <w:r w:rsidR="00307C84" w:rsidRPr="00ED05E6">
        <w:rPr>
          <w:rFonts w:ascii="Times New Roman" w:hAnsi="Times New Roman"/>
          <w:b/>
          <w:sz w:val="24"/>
          <w:szCs w:val="24"/>
          <w:lang w:val="sr-Latn-BA"/>
        </w:rPr>
        <w:t xml:space="preserve"> U</w:t>
      </w:r>
      <w:r w:rsidR="00307C84" w:rsidRPr="00ED05E6">
        <w:rPr>
          <w:rFonts w:ascii="Times New Roman" w:hAnsi="Times New Roman"/>
          <w:b/>
          <w:sz w:val="24"/>
          <w:szCs w:val="24"/>
          <w:lang w:val="sr-Cyrl-BA"/>
        </w:rPr>
        <w:t xml:space="preserve"> од дана 12.01.2012. године у предмету господина Обрена Петровића.</w:t>
      </w:r>
    </w:p>
    <w:p w:rsidR="00626C84" w:rsidRDefault="00307C84" w:rsidP="00696D93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наведеној пресуди се наводи: „ </w:t>
      </w:r>
      <w:r w:rsidR="009E619D">
        <w:rPr>
          <w:rFonts w:ascii="Times New Roman" w:hAnsi="Times New Roman"/>
          <w:sz w:val="24"/>
          <w:szCs w:val="24"/>
          <w:lang w:val="sr-Cyrl-BA"/>
        </w:rPr>
        <w:t xml:space="preserve">У конкретном случају одлуком </w:t>
      </w:r>
      <w:proofErr w:type="spellStart"/>
      <w:r w:rsidR="009E619D">
        <w:rPr>
          <w:rFonts w:ascii="Times New Roman" w:hAnsi="Times New Roman"/>
          <w:sz w:val="24"/>
          <w:szCs w:val="24"/>
          <w:lang w:val="sr-Cyrl-BA"/>
        </w:rPr>
        <w:t>првостепене</w:t>
      </w:r>
      <w:proofErr w:type="spellEnd"/>
      <w:r w:rsidR="009E619D">
        <w:rPr>
          <w:rFonts w:ascii="Times New Roman" w:hAnsi="Times New Roman"/>
          <w:sz w:val="24"/>
          <w:szCs w:val="24"/>
          <w:lang w:val="sr-Cyrl-BA"/>
        </w:rPr>
        <w:t xml:space="preserve"> комисије ништа није окончано већ је покренут поступак утврђивања постојања односно непостојања сукоба интереса</w:t>
      </w:r>
      <w:r w:rsidR="00E140E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E619D">
        <w:rPr>
          <w:rFonts w:ascii="Times New Roman" w:hAnsi="Times New Roman"/>
          <w:sz w:val="24"/>
          <w:szCs w:val="24"/>
          <w:lang w:val="sr-Cyrl-BA"/>
        </w:rPr>
        <w:t xml:space="preserve">у том предмету, а како је то у надлежности ове комисије то је покренута иницијатива на поступак </w:t>
      </w:r>
      <w:proofErr w:type="spellStart"/>
      <w:r w:rsidR="009E619D">
        <w:rPr>
          <w:rFonts w:ascii="Times New Roman" w:hAnsi="Times New Roman"/>
          <w:sz w:val="24"/>
          <w:szCs w:val="24"/>
          <w:lang w:val="sr-Cyrl-BA"/>
        </w:rPr>
        <w:t>пред</w:t>
      </w:r>
      <w:proofErr w:type="spellEnd"/>
      <w:r w:rsidR="009E619D">
        <w:rPr>
          <w:rFonts w:ascii="Times New Roman" w:hAnsi="Times New Roman"/>
          <w:sz w:val="24"/>
          <w:szCs w:val="24"/>
          <w:lang w:val="sr-Cyrl-BA"/>
        </w:rPr>
        <w:t xml:space="preserve"> комисијом за коју није предвиђена могућност жалбе. На основу иницијативе, било комисије било физичких или правних лица</w:t>
      </w:r>
      <w:r w:rsidR="009E2638">
        <w:rPr>
          <w:rFonts w:ascii="Times New Roman" w:hAnsi="Times New Roman"/>
          <w:sz w:val="24"/>
          <w:szCs w:val="24"/>
          <w:lang w:val="sr-Cyrl-BA"/>
        </w:rPr>
        <w:t xml:space="preserve">, покреће се поступак за утврђивање сукоба интереса. Том одлуком се не утврђује да ли се одређено лице налази у сукобу или не, па тек након проведеног поступка када се донесе одлука о постојању или непостојању сукоба интереса у сваком конкретном предмету, сходно одредби члана 17. Закона о </w:t>
      </w:r>
      <w:proofErr w:type="spellStart"/>
      <w:r w:rsidR="009E2638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9E2638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може се изјавити жалба. Нису основани наводи тужиоца, јер ако би се жалбом могла побиј</w:t>
      </w:r>
      <w:r w:rsidR="00656FAF">
        <w:rPr>
          <w:rFonts w:ascii="Times New Roman" w:hAnsi="Times New Roman"/>
          <w:sz w:val="24"/>
          <w:szCs w:val="24"/>
          <w:lang w:val="sr-Cyrl-BA"/>
        </w:rPr>
        <w:t xml:space="preserve">ати одлука </w:t>
      </w:r>
      <w:proofErr w:type="spellStart"/>
      <w:r w:rsidR="00656FAF">
        <w:rPr>
          <w:rFonts w:ascii="Times New Roman" w:hAnsi="Times New Roman"/>
          <w:sz w:val="24"/>
          <w:szCs w:val="24"/>
          <w:lang w:val="sr-Cyrl-BA"/>
        </w:rPr>
        <w:t>првостепене</w:t>
      </w:r>
      <w:proofErr w:type="spellEnd"/>
      <w:r w:rsidR="00656FAF">
        <w:rPr>
          <w:rFonts w:ascii="Times New Roman" w:hAnsi="Times New Roman"/>
          <w:sz w:val="24"/>
          <w:szCs w:val="24"/>
          <w:lang w:val="sr-Cyrl-BA"/>
        </w:rPr>
        <w:t xml:space="preserve"> Комисије</w:t>
      </w:r>
      <w:r w:rsidR="009E2638">
        <w:rPr>
          <w:rFonts w:ascii="Times New Roman" w:hAnsi="Times New Roman"/>
          <w:sz w:val="24"/>
          <w:szCs w:val="24"/>
          <w:lang w:val="sr-Cyrl-BA"/>
        </w:rPr>
        <w:t xml:space="preserve">, којом се уопште покреће поступак за утврђивање сукоба интереса, а евентуалном одлуком Комисије за жалбе којом се таква жалба усваја , могло би се спријечити да </w:t>
      </w:r>
      <w:proofErr w:type="spellStart"/>
      <w:r w:rsidR="009E2638">
        <w:rPr>
          <w:rFonts w:ascii="Times New Roman" w:hAnsi="Times New Roman"/>
          <w:sz w:val="24"/>
          <w:szCs w:val="24"/>
          <w:lang w:val="sr-Cyrl-BA"/>
        </w:rPr>
        <w:t>првостепена</w:t>
      </w:r>
      <w:proofErr w:type="spellEnd"/>
      <w:r w:rsidR="009E2638">
        <w:rPr>
          <w:rFonts w:ascii="Times New Roman" w:hAnsi="Times New Roman"/>
          <w:sz w:val="24"/>
          <w:szCs w:val="24"/>
          <w:lang w:val="sr-Cyrl-BA"/>
        </w:rPr>
        <w:t xml:space="preserve"> комисија уопште расправља да ли се неко лице налази у сукобу интереса, што би било у супротности са законом који регулише ову област, те предлаже</w:t>
      </w:r>
      <w:r w:rsidR="00F17EF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E2638">
        <w:rPr>
          <w:rFonts w:ascii="Times New Roman" w:hAnsi="Times New Roman"/>
          <w:sz w:val="24"/>
          <w:szCs w:val="24"/>
          <w:lang w:val="sr-Cyrl-BA"/>
        </w:rPr>
        <w:t>да се тужба одбије као неоснована.“(завршен цитат</w:t>
      </w:r>
      <w:r w:rsidR="00656FAF">
        <w:rPr>
          <w:rFonts w:ascii="Times New Roman" w:hAnsi="Times New Roman"/>
          <w:sz w:val="24"/>
          <w:szCs w:val="24"/>
          <w:lang w:val="sr-Cyrl-BA"/>
        </w:rPr>
        <w:t>)</w:t>
      </w:r>
    </w:p>
    <w:p w:rsidR="0028683F" w:rsidRDefault="00801CBC" w:rsidP="0028683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 </w:t>
      </w:r>
    </w:p>
    <w:p w:rsidR="0028683F" w:rsidRDefault="00FA266F" w:rsidP="0028683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складу са донесеном пресудом </w:t>
      </w:r>
      <w:r w:rsidR="0028683F">
        <w:rPr>
          <w:rFonts w:ascii="Times New Roman" w:hAnsi="Times New Roman"/>
          <w:sz w:val="24"/>
          <w:szCs w:val="24"/>
          <w:lang w:val="sr-Cyrl-BA"/>
        </w:rPr>
        <w:t xml:space="preserve">Комисија поступа </w:t>
      </w:r>
      <w:r>
        <w:rPr>
          <w:rFonts w:ascii="Times New Roman" w:hAnsi="Times New Roman"/>
          <w:sz w:val="24"/>
          <w:szCs w:val="24"/>
          <w:lang w:val="sr-Cyrl-BA"/>
        </w:rPr>
        <w:t xml:space="preserve">по истој. </w:t>
      </w:r>
    </w:p>
    <w:p w:rsidR="005331D6" w:rsidRDefault="00801CBC" w:rsidP="005331D6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CS"/>
        </w:rPr>
        <w:t>Сходно наведеном о</w:t>
      </w:r>
      <w:r w:rsidR="005331D6" w:rsidRPr="002759CA">
        <w:rPr>
          <w:rFonts w:ascii="Times New Roman" w:hAnsi="Times New Roman"/>
          <w:sz w:val="24"/>
          <w:szCs w:val="24"/>
          <w:lang w:val="sr-Cyrl-CS"/>
        </w:rPr>
        <w:t>ва Одлука је коначна и против ње се не може изјавити жалба нити покренути управни спор.</w:t>
      </w:r>
    </w:p>
    <w:p w:rsidR="005331D6" w:rsidRDefault="005331D6" w:rsidP="00696D93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A7F4E" w:rsidRPr="00307C84" w:rsidRDefault="004A7F4E" w:rsidP="00696D93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015802">
        <w:rPr>
          <w:rFonts w:ascii="Times New Roman" w:hAnsi="Times New Roman"/>
          <w:sz w:val="24"/>
          <w:szCs w:val="24"/>
          <w:lang w:val="sr-Cyrl-CS"/>
        </w:rPr>
        <w:t>Прилог:</w:t>
      </w:r>
      <w:r w:rsidR="00615DD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Пресуда О</w:t>
      </w:r>
      <w:r w:rsidR="003F783B">
        <w:rPr>
          <w:rFonts w:ascii="Times New Roman" w:hAnsi="Times New Roman"/>
          <w:sz w:val="24"/>
          <w:szCs w:val="24"/>
          <w:lang w:val="sr-Cyrl-CS"/>
        </w:rPr>
        <w:t xml:space="preserve">кружног суда у </w:t>
      </w:r>
      <w:proofErr w:type="spellStart"/>
      <w:r w:rsidR="003F783B">
        <w:rPr>
          <w:rFonts w:ascii="Times New Roman" w:hAnsi="Times New Roman"/>
          <w:sz w:val="24"/>
          <w:szCs w:val="24"/>
          <w:lang w:val="sr-Cyrl-CS"/>
        </w:rPr>
        <w:t>Бањој</w:t>
      </w:r>
      <w:proofErr w:type="spellEnd"/>
      <w:r w:rsidR="003F783B">
        <w:rPr>
          <w:rFonts w:ascii="Times New Roman" w:hAnsi="Times New Roman"/>
          <w:sz w:val="24"/>
          <w:szCs w:val="24"/>
          <w:lang w:val="sr-Cyrl-CS"/>
        </w:rPr>
        <w:t xml:space="preserve"> Луци, број</w:t>
      </w:r>
      <w:r>
        <w:rPr>
          <w:rFonts w:ascii="Times New Roman" w:hAnsi="Times New Roman"/>
          <w:sz w:val="24"/>
          <w:szCs w:val="24"/>
          <w:lang w:val="sr-Cyrl-CS"/>
        </w:rPr>
        <w:t xml:space="preserve">: 11 0 </w:t>
      </w:r>
      <w:r>
        <w:rPr>
          <w:rFonts w:ascii="Times New Roman" w:hAnsi="Times New Roman"/>
          <w:sz w:val="24"/>
          <w:szCs w:val="24"/>
          <w:lang w:val="sr-Latn-BA"/>
        </w:rPr>
        <w:t>U</w:t>
      </w:r>
      <w:r>
        <w:rPr>
          <w:rFonts w:ascii="Times New Roman" w:hAnsi="Times New Roman"/>
          <w:sz w:val="24"/>
          <w:szCs w:val="24"/>
          <w:lang w:val="sr-Cyrl-BA"/>
        </w:rPr>
        <w:t xml:space="preserve"> 004967 10</w:t>
      </w:r>
      <w:r w:rsidRPr="00307C84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U</w:t>
      </w:r>
      <w:r>
        <w:rPr>
          <w:rFonts w:ascii="Times New Roman" w:hAnsi="Times New Roman"/>
          <w:sz w:val="24"/>
          <w:szCs w:val="24"/>
          <w:lang w:val="sr-Cyrl-BA"/>
        </w:rPr>
        <w:t xml:space="preserve"> од дана 12.01.2012. године</w:t>
      </w:r>
    </w:p>
    <w:p w:rsidR="00EE42E1" w:rsidRPr="002759CA" w:rsidRDefault="00EE42E1" w:rsidP="00EE42E1">
      <w:pPr>
        <w:pStyle w:val="ListParagraph"/>
        <w:spacing w:after="120" w:line="240" w:lineRule="auto"/>
        <w:jc w:val="right"/>
        <w:rPr>
          <w:rFonts w:cs="Times New Roman"/>
          <w:szCs w:val="24"/>
          <w:lang w:val="sr-Cyrl-CS"/>
        </w:rPr>
      </w:pPr>
      <w:r w:rsidRPr="002759CA">
        <w:rPr>
          <w:rFonts w:cs="Times New Roman"/>
          <w:szCs w:val="24"/>
          <w:lang w:val="sr-Cyrl-CS"/>
        </w:rPr>
        <w:t>ПРЕДСЈЕДНИЦА КОМИСИЈЕ</w:t>
      </w:r>
    </w:p>
    <w:p w:rsidR="00EE42E1" w:rsidRPr="002759CA" w:rsidRDefault="00EE42E1" w:rsidP="00EE42E1">
      <w:pPr>
        <w:pStyle w:val="ListParagraph"/>
        <w:spacing w:after="120" w:line="240" w:lineRule="auto"/>
        <w:ind w:left="5040" w:firstLine="720"/>
        <w:jc w:val="center"/>
        <w:rPr>
          <w:rFonts w:cs="Times New Roman"/>
          <w:szCs w:val="24"/>
          <w:lang w:val="sr-Cyrl-CS"/>
        </w:rPr>
      </w:pPr>
      <w:r w:rsidRPr="002759CA">
        <w:rPr>
          <w:rFonts w:cs="Times New Roman"/>
          <w:szCs w:val="24"/>
          <w:lang w:val="sr-Cyrl-CS"/>
        </w:rPr>
        <w:t xml:space="preserve">               </w:t>
      </w:r>
      <w:proofErr w:type="spellStart"/>
      <w:r w:rsidRPr="002759CA">
        <w:rPr>
          <w:rFonts w:cs="Times New Roman"/>
          <w:szCs w:val="24"/>
          <w:lang w:val="sr-Cyrl-CS"/>
        </w:rPr>
        <w:t>Обренка</w:t>
      </w:r>
      <w:proofErr w:type="spellEnd"/>
      <w:r w:rsidRPr="002759CA">
        <w:rPr>
          <w:rFonts w:cs="Times New Roman"/>
          <w:szCs w:val="24"/>
          <w:lang w:val="sr-Cyrl-CS"/>
        </w:rPr>
        <w:t xml:space="preserve"> Слијепчевић</w:t>
      </w:r>
    </w:p>
    <w:p w:rsidR="00EE42E1" w:rsidRPr="002D2D09" w:rsidRDefault="00EE42E1" w:rsidP="00EE42E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EE42E1" w:rsidRDefault="00EE42E1" w:rsidP="00EE42E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EE42E1" w:rsidRPr="00A4437D" w:rsidRDefault="00C84C81" w:rsidP="00A4437D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Народна скупштина Р</w:t>
      </w:r>
      <w:r w:rsidR="00DC761A">
        <w:rPr>
          <w:szCs w:val="24"/>
          <w:lang w:val="sr-Cyrl-CS"/>
        </w:rPr>
        <w:t xml:space="preserve">епублике </w:t>
      </w:r>
      <w:r>
        <w:rPr>
          <w:szCs w:val="24"/>
          <w:lang w:val="sr-Cyrl-CS"/>
        </w:rPr>
        <w:t xml:space="preserve">Српске, н/р посланика Миленка </w:t>
      </w:r>
      <w:proofErr w:type="spellStart"/>
      <w:r>
        <w:rPr>
          <w:szCs w:val="24"/>
          <w:lang w:val="sr-Cyrl-CS"/>
        </w:rPr>
        <w:t>Вићановића</w:t>
      </w:r>
      <w:proofErr w:type="spellEnd"/>
      <w:r>
        <w:rPr>
          <w:szCs w:val="24"/>
          <w:lang w:val="sr-Cyrl-CS"/>
        </w:rPr>
        <w:t>, Трг јасеновачких жртава 2, 78 000 Бања Лука,</w:t>
      </w:r>
      <w:r w:rsidR="00A4437D" w:rsidRPr="00A4437D">
        <w:rPr>
          <w:szCs w:val="24"/>
          <w:lang w:val="sr-Cyrl-CS"/>
        </w:rPr>
        <w:t xml:space="preserve"> </w:t>
      </w:r>
    </w:p>
    <w:p w:rsidR="00EE42E1" w:rsidRDefault="00EE42E1" w:rsidP="00EE42E1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szCs w:val="24"/>
          <w:lang w:val="sr-Cyrl-CS"/>
        </w:rPr>
      </w:pPr>
      <w:r>
        <w:rPr>
          <w:szCs w:val="24"/>
          <w:lang w:val="sr-Cyrl-CS"/>
        </w:rPr>
        <w:t>У спис предмета</w:t>
      </w:r>
    </w:p>
    <w:p w:rsidR="00EE42E1" w:rsidRPr="00745D61" w:rsidRDefault="00EE42E1" w:rsidP="00EE42E1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szCs w:val="24"/>
        </w:rPr>
      </w:pPr>
      <w:r w:rsidRPr="00745D61">
        <w:rPr>
          <w:szCs w:val="24"/>
          <w:lang w:val="sr-Cyrl-CS"/>
        </w:rPr>
        <w:t>а/а</w:t>
      </w:r>
    </w:p>
    <w:p w:rsidR="00924C53" w:rsidRDefault="00924C53"/>
    <w:sectPr w:rsidR="00924C53" w:rsidSect="0009633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046" w:rsidRDefault="00342046" w:rsidP="00A52EDB">
      <w:pPr>
        <w:spacing w:after="0" w:line="240" w:lineRule="auto"/>
      </w:pPr>
      <w:r>
        <w:separator/>
      </w:r>
    </w:p>
  </w:endnote>
  <w:endnote w:type="continuationSeparator" w:id="0">
    <w:p w:rsidR="00342046" w:rsidRDefault="00342046" w:rsidP="00A52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6725280"/>
      <w:docPartObj>
        <w:docPartGallery w:val="Page Numbers (Bottom of Page)"/>
        <w:docPartUnique/>
      </w:docPartObj>
    </w:sdtPr>
    <w:sdtEndPr/>
    <w:sdtContent>
      <w:p w:rsidR="009E2638" w:rsidRDefault="00E474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1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2638" w:rsidRDefault="009E26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046" w:rsidRDefault="00342046" w:rsidP="00A52EDB">
      <w:pPr>
        <w:spacing w:after="0" w:line="240" w:lineRule="auto"/>
      </w:pPr>
      <w:r>
        <w:separator/>
      </w:r>
    </w:p>
  </w:footnote>
  <w:footnote w:type="continuationSeparator" w:id="0">
    <w:p w:rsidR="00342046" w:rsidRDefault="00342046" w:rsidP="00A52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505A9"/>
    <w:multiLevelType w:val="hybridMultilevel"/>
    <w:tmpl w:val="7438F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828DB"/>
    <w:multiLevelType w:val="hybridMultilevel"/>
    <w:tmpl w:val="43A47CBA"/>
    <w:lvl w:ilvl="0" w:tplc="6CBE3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E1"/>
    <w:rsid w:val="00026338"/>
    <w:rsid w:val="00037582"/>
    <w:rsid w:val="00041CB2"/>
    <w:rsid w:val="00043C51"/>
    <w:rsid w:val="00056179"/>
    <w:rsid w:val="0009633D"/>
    <w:rsid w:val="00111C7F"/>
    <w:rsid w:val="00120B23"/>
    <w:rsid w:val="00136D09"/>
    <w:rsid w:val="001A3BF1"/>
    <w:rsid w:val="00250ECD"/>
    <w:rsid w:val="0028683F"/>
    <w:rsid w:val="002B1155"/>
    <w:rsid w:val="00307C84"/>
    <w:rsid w:val="00342046"/>
    <w:rsid w:val="003B1673"/>
    <w:rsid w:val="003F0018"/>
    <w:rsid w:val="003F783B"/>
    <w:rsid w:val="004A7F4E"/>
    <w:rsid w:val="00511AF7"/>
    <w:rsid w:val="005331D6"/>
    <w:rsid w:val="00555B22"/>
    <w:rsid w:val="005854BD"/>
    <w:rsid w:val="005A46B1"/>
    <w:rsid w:val="005C02DE"/>
    <w:rsid w:val="00615DD2"/>
    <w:rsid w:val="00626C84"/>
    <w:rsid w:val="00656FAF"/>
    <w:rsid w:val="0066254A"/>
    <w:rsid w:val="00696D93"/>
    <w:rsid w:val="006A05E6"/>
    <w:rsid w:val="006A4D54"/>
    <w:rsid w:val="006B41B7"/>
    <w:rsid w:val="007705DF"/>
    <w:rsid w:val="00801CBC"/>
    <w:rsid w:val="0084162D"/>
    <w:rsid w:val="0088007E"/>
    <w:rsid w:val="008845D5"/>
    <w:rsid w:val="008956C3"/>
    <w:rsid w:val="00907EF3"/>
    <w:rsid w:val="0092299B"/>
    <w:rsid w:val="00924C53"/>
    <w:rsid w:val="00925054"/>
    <w:rsid w:val="00963794"/>
    <w:rsid w:val="009E2638"/>
    <w:rsid w:val="009E619D"/>
    <w:rsid w:val="00A11BA0"/>
    <w:rsid w:val="00A4437D"/>
    <w:rsid w:val="00A52EDB"/>
    <w:rsid w:val="00A641CD"/>
    <w:rsid w:val="00AC153D"/>
    <w:rsid w:val="00AF579E"/>
    <w:rsid w:val="00B328E3"/>
    <w:rsid w:val="00B631BD"/>
    <w:rsid w:val="00B631EA"/>
    <w:rsid w:val="00B90D52"/>
    <w:rsid w:val="00BB37DD"/>
    <w:rsid w:val="00BC5F1B"/>
    <w:rsid w:val="00BE2921"/>
    <w:rsid w:val="00C11411"/>
    <w:rsid w:val="00C449C5"/>
    <w:rsid w:val="00C64FF0"/>
    <w:rsid w:val="00C831D6"/>
    <w:rsid w:val="00C84C81"/>
    <w:rsid w:val="00CA55EE"/>
    <w:rsid w:val="00DB0E73"/>
    <w:rsid w:val="00DC761A"/>
    <w:rsid w:val="00DF7BE5"/>
    <w:rsid w:val="00E140EA"/>
    <w:rsid w:val="00E36357"/>
    <w:rsid w:val="00E4622F"/>
    <w:rsid w:val="00E47478"/>
    <w:rsid w:val="00E9191D"/>
    <w:rsid w:val="00EC412A"/>
    <w:rsid w:val="00ED05E6"/>
    <w:rsid w:val="00EE42E1"/>
    <w:rsid w:val="00F17EFE"/>
    <w:rsid w:val="00F700C5"/>
    <w:rsid w:val="00FA266F"/>
    <w:rsid w:val="00FB4951"/>
    <w:rsid w:val="00FD6C33"/>
    <w:rsid w:val="00FE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5AE96-CF4C-42A6-9793-5EB1126A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2E1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42E1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E42E1"/>
    <w:rPr>
      <w:i/>
      <w:iCs/>
    </w:rPr>
  </w:style>
  <w:style w:type="paragraph" w:styleId="ListParagraph">
    <w:name w:val="List Paragraph"/>
    <w:basedOn w:val="Normal"/>
    <w:uiPriority w:val="34"/>
    <w:qFormat/>
    <w:rsid w:val="00EE42E1"/>
    <w:pPr>
      <w:ind w:left="720"/>
      <w:contextualSpacing/>
    </w:pPr>
    <w:rPr>
      <w:rFonts w:ascii="Times New Roman" w:eastAsiaTheme="minorEastAsia" w:hAnsi="Times New Roman" w:cstheme="minorBid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2E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52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2ED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52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ED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1BBD9-9E4E-4A44-AD7B-26053153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4</cp:revision>
  <cp:lastPrinted>2020-11-23T13:22:00Z</cp:lastPrinted>
  <dcterms:created xsi:type="dcterms:W3CDTF">2020-11-23T14:09:00Z</dcterms:created>
  <dcterms:modified xsi:type="dcterms:W3CDTF">2020-12-17T12:28:00Z</dcterms:modified>
</cp:coreProperties>
</file>